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89" w:rsidRPr="003175DC" w:rsidRDefault="006D3489" w:rsidP="006D3489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</w:t>
      </w:r>
      <w:r>
        <w:rPr>
          <w:rFonts w:ascii="標楷體" w:eastAsia="標楷體" w:hAnsi="標楷體"/>
          <w:color w:val="000000"/>
        </w:rPr>
        <w:t>日語</w:t>
      </w:r>
      <w:r w:rsidRPr="003175DC">
        <w:rPr>
          <w:rFonts w:ascii="標楷體" w:eastAsia="標楷體" w:hAnsi="標楷體" w:hint="eastAsia"/>
          <w:color w:val="000000"/>
        </w:rPr>
        <w:t xml:space="preserve">系  碩士班 </w:t>
      </w:r>
      <w:r w:rsidRPr="00605B70"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107</w:t>
      </w:r>
      <w:r w:rsidRPr="003175DC">
        <w:rPr>
          <w:rFonts w:ascii="標楷體" w:eastAsia="標楷體" w:hAnsi="標楷體" w:hint="eastAsia"/>
          <w:color w:val="000000"/>
        </w:rPr>
        <w:t>學年度入學課程結構規劃表</w:t>
      </w:r>
      <w:r>
        <w:rPr>
          <w:rFonts w:ascii="標楷體" w:eastAsia="標楷體" w:hAnsi="標楷體" w:hint="eastAsia"/>
          <w:color w:val="000000"/>
        </w:rPr>
        <w:t>(修</w:t>
      </w:r>
      <w:r>
        <w:rPr>
          <w:rFonts w:ascii="標楷體" w:eastAsia="標楷體" w:hAnsi="標楷體"/>
          <w:color w:val="000000"/>
        </w:rPr>
        <w:t>改後</w:t>
      </w:r>
      <w:r>
        <w:rPr>
          <w:rFonts w:ascii="標楷體" w:eastAsia="標楷體" w:hAnsi="標楷體" w:hint="eastAsia"/>
          <w:color w:val="000000"/>
        </w:rPr>
        <w:t>)</w:t>
      </w:r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982"/>
        <w:gridCol w:w="1633"/>
        <w:gridCol w:w="2149"/>
        <w:gridCol w:w="880"/>
        <w:gridCol w:w="108"/>
        <w:gridCol w:w="175"/>
        <w:gridCol w:w="77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303"/>
      </w:tblGrid>
      <w:tr w:rsidR="006D3489" w:rsidRPr="003175DC" w:rsidTr="00765F0E">
        <w:trPr>
          <w:trHeight w:val="340"/>
          <w:jc w:val="center"/>
        </w:trPr>
        <w:tc>
          <w:tcPr>
            <w:tcW w:w="6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6D3489" w:rsidRPr="003175DC" w:rsidTr="00765F0E">
        <w:trPr>
          <w:trHeight w:val="340"/>
          <w:jc w:val="center"/>
        </w:trPr>
        <w:tc>
          <w:tcPr>
            <w:tcW w:w="6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6D3489" w:rsidRPr="003175DC" w:rsidTr="00765F0E">
        <w:trPr>
          <w:trHeight w:val="340"/>
          <w:jc w:val="center"/>
        </w:trPr>
        <w:tc>
          <w:tcPr>
            <w:tcW w:w="6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6D3489" w:rsidRPr="003175DC" w:rsidTr="00765F0E">
        <w:trPr>
          <w:trHeight w:val="755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學院共同課程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6D3489" w:rsidRPr="003175DC" w:rsidTr="00765F0E">
        <w:trPr>
          <w:trHeight w:val="755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6D3489" w:rsidRPr="003175DC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6D3489" w:rsidRPr="003175DC" w:rsidTr="00765F0E">
        <w:trPr>
          <w:trHeight w:val="75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F55386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6D3489" w:rsidRPr="00962351" w:rsidRDefault="006D3489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6D3489" w:rsidRPr="003175DC" w:rsidTr="00765F0E">
        <w:trPr>
          <w:trHeight w:val="7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CE496E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:rsidR="006D3489" w:rsidRPr="003175DC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4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CE496E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:rsidR="006D3489" w:rsidRPr="003175DC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日語專業編譯Ⅰ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MS Mincho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日語專業編譯Ⅱ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6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16"/>
              </w:rPr>
              <w:t xml:space="preserve">日語教材分析與設計Ⅰ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日語教材分析與研究Ⅱ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中日對照語言文化學研究Ⅰ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中日對照語言文化學研究Ⅱ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日本文學專題研究Ⅰ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日本文學專題研究Ⅱ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日本近現代文學研究Ⅰ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日本近現代文學研究Ⅱ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3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日語語音學Ⅰ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日語語音學Ⅱ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日本語學文獻研究Ⅰ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日本語學文獻研究Ⅱ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3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語學應用特別講座Ⅰ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日本特別講座Ⅰ</w:t>
            </w:r>
          </w:p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專業日語編譯實作Ⅰ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專業日語編譯實作Ⅱ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39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論文寫作與文獻導讀Ⅰ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論文寫作與文獻導讀Ⅱ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日本產業社會專題研究Ⅰ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日本產業社會專題研究Ⅱ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日本觀光文化研究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日本人文觀光研究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語學應用特別講座Ⅱ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日本產業與貿易構造專題研究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D3489" w:rsidRDefault="006D3489"/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149"/>
        <w:gridCol w:w="988"/>
        <w:gridCol w:w="252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292"/>
        <w:gridCol w:w="11"/>
      </w:tblGrid>
      <w:tr w:rsidR="006D3489" w:rsidRPr="003175DC" w:rsidTr="00765F0E">
        <w:trPr>
          <w:trHeight w:val="41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489" w:rsidRPr="008A6F37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489" w:rsidRPr="008A6F37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16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8A6F37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</w:t>
            </w:r>
            <w:proofErr w:type="gramEnd"/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年級</w:t>
            </w:r>
          </w:p>
        </w:tc>
      </w:tr>
      <w:tr w:rsidR="006D3489" w:rsidRPr="003175DC" w:rsidTr="00765F0E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8A6F37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8A6F37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8A6F37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8A6F37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8A6F37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8A6F37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</w:tr>
      <w:tr w:rsidR="006D3489" w:rsidRPr="003175DC" w:rsidTr="00765F0E">
        <w:trPr>
          <w:gridAfter w:val="1"/>
          <w:wAfter w:w="11" w:type="dxa"/>
          <w:trHeight w:val="83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</w:tr>
      <w:tr w:rsidR="006D3489" w:rsidRPr="003175DC" w:rsidTr="00765F0E">
        <w:trPr>
          <w:trHeight w:val="32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台日文化教學與學習研究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台日異文化交流比較研究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日本經濟與市場專題研究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日本風土文化研究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40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日本對外直接投資專題研究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日本經濟動向分析專題研究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日本地域文化研究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數位學習與台日文化教育研究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日本文化研究與文獻探討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近代台日庶民生活史研究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台日社會文化比較研究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日本特別講座Ⅱ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102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宗教文化研究Ⅰ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宗教文化研究Ⅱ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FE304B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D3489" w:rsidRPr="003175DC" w:rsidTr="00765F0E">
        <w:trPr>
          <w:trHeight w:val="449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3175DC" w:rsidRDefault="006D3489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9" w:rsidRPr="00962351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521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口譯專題研究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B521E8" w:rsidRDefault="006D3489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B521E8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489" w:rsidRPr="00B521E8" w:rsidRDefault="006D3489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9" w:rsidRPr="006D1650" w:rsidRDefault="006D3489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D3489" w:rsidRPr="003175DC" w:rsidRDefault="006D3489" w:rsidP="006D3489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6D3489" w:rsidRPr="00CD1656" w:rsidRDefault="006D3489" w:rsidP="006D3489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  <w:sz w:val="20"/>
          <w:szCs w:val="20"/>
        </w:rPr>
      </w:pP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一、畢業總學分數為</w:t>
      </w:r>
      <w:r w:rsidRPr="00CD1656">
        <w:rPr>
          <w:rFonts w:ascii="標楷體" w:eastAsia="標楷體" w:hAnsi="標楷體"/>
          <w:color w:val="000000"/>
          <w:sz w:val="20"/>
          <w:szCs w:val="20"/>
        </w:rPr>
        <w:t>30</w:t>
      </w: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學分。（不含論文6學分）</w:t>
      </w:r>
    </w:p>
    <w:p w:rsidR="006D3489" w:rsidRPr="00CD1656" w:rsidRDefault="006D3489" w:rsidP="006D3489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  <w:sz w:val="20"/>
          <w:szCs w:val="20"/>
        </w:rPr>
      </w:pP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二、必修</w:t>
      </w:r>
      <w:r w:rsidRPr="00CD1656">
        <w:rPr>
          <w:rFonts w:ascii="標楷體" w:eastAsia="標楷體" w:hAnsi="標楷體"/>
          <w:color w:val="000000"/>
          <w:sz w:val="20"/>
          <w:szCs w:val="20"/>
        </w:rPr>
        <w:t>6</w:t>
      </w: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學分，選修</w:t>
      </w:r>
      <w:r w:rsidRPr="00CD1656">
        <w:rPr>
          <w:rFonts w:ascii="標楷體" w:eastAsia="標楷體" w:hAnsi="標楷體"/>
          <w:color w:val="000000"/>
          <w:sz w:val="20"/>
          <w:szCs w:val="20"/>
        </w:rPr>
        <w:t>30</w:t>
      </w: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學分。</w:t>
      </w:r>
    </w:p>
    <w:p w:rsidR="006D3489" w:rsidRPr="00CD1656" w:rsidRDefault="006D3489" w:rsidP="006D3489">
      <w:pPr>
        <w:snapToGrid w:val="0"/>
        <w:spacing w:line="360" w:lineRule="exact"/>
        <w:ind w:leftChars="590" w:left="1770" w:hangingChars="177" w:hanging="354"/>
        <w:rPr>
          <w:rFonts w:ascii="標楷體" w:eastAsia="標楷體" w:hAnsi="標楷體"/>
          <w:color w:val="000000"/>
          <w:sz w:val="20"/>
          <w:szCs w:val="20"/>
        </w:rPr>
      </w:pP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三、學生修讀所屬學院之「學院共同課程」應認列為</w:t>
      </w:r>
      <w:r w:rsidRPr="00CD1656">
        <w:rPr>
          <w:rFonts w:ascii="標楷體" w:eastAsia="標楷體" w:hAnsi="標楷體" w:hint="eastAsia"/>
          <w:sz w:val="20"/>
          <w:szCs w:val="20"/>
        </w:rPr>
        <w:t>本系專業課程</w:t>
      </w: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學分；修讀所屬學院之「學院跨領域課程」或其他學院開課之課程，則認列為外系課程學分。</w:t>
      </w:r>
    </w:p>
    <w:p w:rsidR="006D3489" w:rsidRPr="00C656A8" w:rsidRDefault="006D3489" w:rsidP="006D3489">
      <w:pPr>
        <w:snapToGrid w:val="0"/>
        <w:spacing w:line="360" w:lineRule="exact"/>
        <w:ind w:leftChars="590" w:left="1770" w:hangingChars="177" w:hanging="354"/>
        <w:rPr>
          <w:rFonts w:ascii="標楷體" w:eastAsia="標楷體" w:hAnsi="標楷體"/>
          <w:color w:val="000000"/>
          <w:sz w:val="20"/>
          <w:szCs w:val="20"/>
        </w:rPr>
      </w:pPr>
      <w:r w:rsidRPr="00C656A8">
        <w:rPr>
          <w:rFonts w:ascii="標楷體" w:eastAsia="標楷體" w:hAnsi="標楷體" w:hint="eastAsia"/>
          <w:color w:val="000000"/>
          <w:sz w:val="20"/>
          <w:szCs w:val="20"/>
        </w:rPr>
        <w:t>四、學院或系所開設之教學實習微學分課程列為畢業學分。</w:t>
      </w:r>
    </w:p>
    <w:p w:rsidR="006D3489" w:rsidRDefault="006D3489" w:rsidP="006D3489">
      <w:pPr>
        <w:snapToGrid w:val="0"/>
        <w:spacing w:line="360" w:lineRule="exact"/>
        <w:ind w:leftChars="590" w:left="1816" w:hangingChars="200" w:hanging="400"/>
      </w:pP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五、系所訂定條件（學程、檢定、證照、承認外系學分及其他）：</w:t>
      </w:r>
      <w:r w:rsidRPr="00C656A8">
        <w:rPr>
          <w:rFonts w:ascii="標楷體" w:eastAsia="標楷體" w:hAnsi="標楷體" w:hint="eastAsia"/>
          <w:color w:val="000000"/>
          <w:sz w:val="20"/>
          <w:szCs w:val="20"/>
        </w:rPr>
        <w:t>一年級上下學期每學期修課學分不得超過12學分；</w:t>
      </w: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二年級上學期修課學分不得低於8學分；二年級下學期修課學分不得低於2學分。</w:t>
      </w:r>
    </w:p>
    <w:p w:rsidR="006D3489" w:rsidRDefault="006D3489" w:rsidP="006D3489">
      <w:pPr>
        <w:snapToGrid w:val="0"/>
        <w:spacing w:line="360" w:lineRule="exact"/>
        <w:ind w:leftChars="590" w:left="1416"/>
      </w:pPr>
    </w:p>
    <w:p w:rsidR="006D3489" w:rsidRDefault="006D3489" w:rsidP="006D3489">
      <w:pPr>
        <w:snapToGrid w:val="0"/>
        <w:spacing w:line="360" w:lineRule="exact"/>
        <w:ind w:leftChars="590" w:left="1416"/>
      </w:pPr>
    </w:p>
    <w:p w:rsidR="006D3489" w:rsidRDefault="006D3489" w:rsidP="006D3489">
      <w:pPr>
        <w:snapToGrid w:val="0"/>
        <w:spacing w:line="360" w:lineRule="exact"/>
        <w:ind w:leftChars="590" w:left="1416"/>
      </w:pPr>
    </w:p>
    <w:p w:rsidR="006D3489" w:rsidRDefault="006D3489" w:rsidP="006D3489">
      <w:pPr>
        <w:snapToGrid w:val="0"/>
        <w:spacing w:line="360" w:lineRule="exact"/>
        <w:ind w:leftChars="590" w:left="1416"/>
      </w:pPr>
    </w:p>
    <w:p w:rsidR="006D3489" w:rsidRDefault="006D3489" w:rsidP="006D3489">
      <w:pPr>
        <w:snapToGrid w:val="0"/>
        <w:spacing w:line="360" w:lineRule="exact"/>
        <w:ind w:leftChars="590" w:left="1416"/>
      </w:pPr>
    </w:p>
    <w:p w:rsidR="006D3489" w:rsidRPr="006D3489" w:rsidRDefault="006D3489">
      <w:pPr>
        <w:widowControl/>
      </w:pPr>
    </w:p>
    <w:p w:rsidR="00333ED5" w:rsidRPr="006D3489" w:rsidRDefault="00333ED5"/>
    <w:sectPr w:rsidR="00333ED5" w:rsidRPr="006D3489" w:rsidSect="002E0C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64"/>
    <w:rsid w:val="002E0C64"/>
    <w:rsid w:val="00333ED5"/>
    <w:rsid w:val="006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2019-06-03T05:44:00Z</dcterms:created>
  <dcterms:modified xsi:type="dcterms:W3CDTF">2019-06-03T05:44:00Z</dcterms:modified>
</cp:coreProperties>
</file>